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CA7" w:rsidRPr="00F72CA7" w:rsidRDefault="00F72CA7" w:rsidP="00F72CA7">
      <w:pPr>
        <w:pStyle w:val="tablepocp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F72CA7">
        <w:rPr>
          <w:rFonts w:ascii="Arial" w:hAnsi="Arial" w:cs="Arial"/>
          <w:color w:val="000000"/>
          <w:sz w:val="20"/>
          <w:szCs w:val="20"/>
          <w:shd w:val="clear" w:color="auto" w:fill="FFFFFF"/>
        </w:rPr>
        <w:t>LEI Nº             10.391,            DE   15    DE             ABRIL              DE  2016.</w:t>
      </w:r>
    </w:p>
    <w:p w:rsidR="00F72CA7" w:rsidRPr="00F72CA7" w:rsidRDefault="00F72CA7" w:rsidP="00F72CA7">
      <w:pPr>
        <w:pStyle w:val="tablepocp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F72CA7"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</w:p>
    <w:p w:rsidR="00F72CA7" w:rsidRPr="00F72CA7" w:rsidRDefault="00F72CA7" w:rsidP="00F72CA7">
      <w:pPr>
        <w:pStyle w:val="tablepocp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F72CA7">
        <w:rPr>
          <w:rFonts w:ascii="Arial" w:hAnsi="Arial" w:cs="Arial"/>
          <w:color w:val="000000"/>
          <w:sz w:val="20"/>
          <w:szCs w:val="20"/>
          <w:shd w:val="clear" w:color="auto" w:fill="FFFFFF"/>
        </w:rPr>
        <w:t>Autor: Poder Executivo</w:t>
      </w:r>
    </w:p>
    <w:p w:rsidR="00F72CA7" w:rsidRPr="00F72CA7" w:rsidRDefault="00F72CA7" w:rsidP="00F72CA7">
      <w:pPr>
        <w:pStyle w:val="tablepocp"/>
        <w:spacing w:before="0" w:beforeAutospacing="0" w:after="0" w:afterAutospacing="0"/>
        <w:ind w:left="2158"/>
        <w:jc w:val="both"/>
        <w:rPr>
          <w:rFonts w:ascii="Arial" w:hAnsi="Arial" w:cs="Arial"/>
          <w:color w:val="000000"/>
          <w:sz w:val="20"/>
          <w:szCs w:val="20"/>
        </w:rPr>
      </w:pPr>
      <w:r w:rsidRPr="00F72CA7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Altera a Lei nº 10.354, de 30 de dezembro de 2015,</w:t>
      </w:r>
      <w:r w:rsidRPr="00F72CA7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F72CA7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que estima a receita e fixa a despesa do Estado de Mato Grosso para o exercício financeiro de 2016.</w:t>
      </w:r>
    </w:p>
    <w:p w:rsidR="00F72CA7" w:rsidRPr="00F72CA7" w:rsidRDefault="00F72CA7" w:rsidP="00F72CA7">
      <w:pPr>
        <w:pStyle w:val="tablepocp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F72CA7"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</w:p>
    <w:p w:rsidR="00F72CA7" w:rsidRPr="00F72CA7" w:rsidRDefault="00F72CA7" w:rsidP="00F72CA7">
      <w:pPr>
        <w:pStyle w:val="tablepocp"/>
        <w:spacing w:before="0" w:beforeAutospacing="0" w:after="0" w:afterAutospacing="0"/>
        <w:ind w:firstLine="761"/>
        <w:jc w:val="both"/>
        <w:rPr>
          <w:rFonts w:ascii="Arial" w:hAnsi="Arial" w:cs="Arial"/>
          <w:color w:val="000000"/>
          <w:sz w:val="20"/>
          <w:szCs w:val="20"/>
        </w:rPr>
      </w:pPr>
      <w:r w:rsidRPr="00F72CA7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A ASSEMBLEIA LEGISLATIVA DO ESTADO DE MATO GROSSO</w:t>
      </w:r>
      <w:r w:rsidRPr="00F72CA7">
        <w:rPr>
          <w:rFonts w:ascii="Arial" w:hAnsi="Arial" w:cs="Arial"/>
          <w:color w:val="000000"/>
          <w:sz w:val="20"/>
          <w:szCs w:val="20"/>
          <w:shd w:val="clear" w:color="auto" w:fill="FFFFFF"/>
        </w:rPr>
        <w:t>, tendo em vista o que dispõe o art. 42 da Constituição Estadual, aprova e o Governador do Estado sanciona a seguinte Lei:</w:t>
      </w:r>
    </w:p>
    <w:p w:rsidR="00F72CA7" w:rsidRPr="00F72CA7" w:rsidRDefault="00F72CA7" w:rsidP="00F72CA7">
      <w:pPr>
        <w:pStyle w:val="tablepocp"/>
        <w:spacing w:before="0" w:beforeAutospacing="0" w:after="0" w:afterAutospacing="0"/>
        <w:ind w:firstLine="761"/>
        <w:jc w:val="both"/>
        <w:rPr>
          <w:rFonts w:ascii="Arial" w:hAnsi="Arial" w:cs="Arial"/>
          <w:color w:val="000000"/>
          <w:sz w:val="20"/>
          <w:szCs w:val="20"/>
        </w:rPr>
      </w:pPr>
      <w:r w:rsidRPr="00F72CA7"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</w:p>
    <w:p w:rsidR="00F72CA7" w:rsidRPr="00F72CA7" w:rsidRDefault="00F72CA7" w:rsidP="00F72CA7">
      <w:pPr>
        <w:pStyle w:val="tablepocp"/>
        <w:spacing w:before="0" w:beforeAutospacing="0" w:after="0" w:afterAutospacing="0"/>
        <w:ind w:firstLine="761"/>
        <w:jc w:val="both"/>
        <w:rPr>
          <w:rFonts w:ascii="Arial" w:hAnsi="Arial" w:cs="Arial"/>
          <w:color w:val="000000"/>
          <w:sz w:val="20"/>
          <w:szCs w:val="20"/>
        </w:rPr>
      </w:pPr>
      <w:r w:rsidRPr="00F72CA7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Art. 1º </w:t>
      </w:r>
      <w:r w:rsidRPr="00F72CA7">
        <w:rPr>
          <w:rStyle w:val="apple-converted-space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 </w:t>
      </w:r>
      <w:r w:rsidRPr="00F72CA7">
        <w:rPr>
          <w:rFonts w:ascii="Arial" w:hAnsi="Arial" w:cs="Arial"/>
          <w:color w:val="000000"/>
          <w:sz w:val="20"/>
          <w:szCs w:val="20"/>
          <w:shd w:val="clear" w:color="auto" w:fill="FFFFFF"/>
        </w:rPr>
        <w:t>O art. 6º da</w:t>
      </w:r>
      <w:r w:rsidRPr="00F72CA7">
        <w:rPr>
          <w:rStyle w:val="apple-converted-space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 </w:t>
      </w:r>
      <w:r w:rsidRPr="00F72CA7">
        <w:rPr>
          <w:rFonts w:ascii="Arial" w:hAnsi="Arial" w:cs="Arial"/>
          <w:color w:val="000000"/>
          <w:sz w:val="20"/>
          <w:szCs w:val="20"/>
          <w:shd w:val="clear" w:color="auto" w:fill="FFFFFF"/>
        </w:rPr>
        <w:t>Lei nº 10.354, de 30 de dezembro de 2015, passa a vigorar acrescido do seguinte inciso III:</w:t>
      </w:r>
    </w:p>
    <w:p w:rsidR="00F72CA7" w:rsidRPr="00F72CA7" w:rsidRDefault="00F72CA7" w:rsidP="00F72CA7">
      <w:pPr>
        <w:pStyle w:val="tablepocp"/>
        <w:spacing w:before="0" w:beforeAutospacing="0" w:after="0" w:afterAutospacing="0"/>
        <w:ind w:left="254" w:firstLine="635"/>
        <w:jc w:val="both"/>
        <w:rPr>
          <w:rFonts w:ascii="Arial" w:hAnsi="Arial" w:cs="Arial"/>
          <w:color w:val="000000"/>
          <w:sz w:val="20"/>
          <w:szCs w:val="20"/>
        </w:rPr>
      </w:pPr>
      <w:r w:rsidRPr="00F72CA7"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</w:p>
    <w:p w:rsidR="00F72CA7" w:rsidRPr="00F72CA7" w:rsidRDefault="00F72CA7" w:rsidP="00F72CA7">
      <w:pPr>
        <w:pStyle w:val="tablepocp"/>
        <w:spacing w:before="0" w:beforeAutospacing="0" w:after="0" w:afterAutospacing="0"/>
        <w:ind w:left="254" w:firstLine="635"/>
        <w:jc w:val="both"/>
        <w:rPr>
          <w:rFonts w:ascii="Arial" w:hAnsi="Arial" w:cs="Arial"/>
          <w:color w:val="000000"/>
          <w:sz w:val="20"/>
          <w:szCs w:val="20"/>
        </w:rPr>
      </w:pPr>
      <w:proofErr w:type="gramStart"/>
      <w:r w:rsidRPr="00F72CA7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“Art. 6º </w:t>
      </w:r>
      <w:r w:rsidRPr="00F72CA7">
        <w:rPr>
          <w:rStyle w:val="apple-converted-space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 </w:t>
      </w:r>
      <w:r w:rsidRPr="00F72CA7">
        <w:rPr>
          <w:rFonts w:ascii="Arial" w:hAnsi="Arial" w:cs="Arial"/>
          <w:color w:val="000000"/>
          <w:sz w:val="20"/>
          <w:szCs w:val="20"/>
          <w:shd w:val="clear" w:color="auto" w:fill="FFFFFF"/>
        </w:rPr>
        <w:t>(...)</w:t>
      </w:r>
    </w:p>
    <w:p w:rsidR="00F72CA7" w:rsidRPr="00F72CA7" w:rsidRDefault="00F72CA7" w:rsidP="00F72CA7">
      <w:pPr>
        <w:pStyle w:val="tablepocp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proofErr w:type="gramEnd"/>
      <w:r w:rsidRPr="00F72CA7"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</w:p>
    <w:p w:rsidR="00F72CA7" w:rsidRPr="00F72CA7" w:rsidRDefault="00F72CA7" w:rsidP="00F72CA7">
      <w:pPr>
        <w:pStyle w:val="tablepocp"/>
        <w:spacing w:before="0" w:beforeAutospacing="0" w:after="0" w:afterAutospacing="0"/>
        <w:ind w:left="254" w:firstLine="635"/>
        <w:jc w:val="both"/>
        <w:rPr>
          <w:rFonts w:ascii="Arial" w:hAnsi="Arial" w:cs="Arial"/>
          <w:color w:val="000000"/>
          <w:sz w:val="20"/>
          <w:szCs w:val="20"/>
        </w:rPr>
      </w:pPr>
      <w:r w:rsidRPr="00F72CA7">
        <w:rPr>
          <w:rFonts w:ascii="Arial" w:hAnsi="Arial" w:cs="Arial"/>
          <w:color w:val="000000"/>
          <w:sz w:val="20"/>
          <w:szCs w:val="20"/>
          <w:shd w:val="clear" w:color="auto" w:fill="FFFFFF"/>
        </w:rPr>
        <w:t>(...)</w:t>
      </w:r>
    </w:p>
    <w:p w:rsidR="00F72CA7" w:rsidRPr="00F72CA7" w:rsidRDefault="00F72CA7" w:rsidP="00F72CA7">
      <w:pPr>
        <w:pStyle w:val="tablepocp"/>
        <w:spacing w:before="0" w:beforeAutospacing="0" w:after="0" w:afterAutospacing="0"/>
        <w:ind w:left="254" w:firstLine="635"/>
        <w:jc w:val="both"/>
        <w:rPr>
          <w:rFonts w:ascii="Arial" w:hAnsi="Arial" w:cs="Arial"/>
          <w:color w:val="000000"/>
          <w:sz w:val="20"/>
          <w:szCs w:val="20"/>
        </w:rPr>
      </w:pPr>
      <w:r w:rsidRPr="00F72CA7">
        <w:rPr>
          <w:rFonts w:ascii="Arial" w:hAnsi="Arial" w:cs="Arial"/>
          <w:color w:val="000000"/>
          <w:sz w:val="20"/>
          <w:szCs w:val="20"/>
          <w:shd w:val="clear" w:color="auto" w:fill="FFFFFF"/>
        </w:rPr>
        <w:t>III - abrir créditos suplementares até o limite da dotação consignada na Lei Orçamentária como emendas parlamentares individuais, mediante solicitação e justificativa do autor da emenda, que deverá ser encaminhada às áreas de governo responsáveis pela sua execução, observado o disposto no art. 43 da Lei Federal nº 4.320, de 17 de março de 1964, e as disposições da Lei nº 10.311, de 14 de setembro de 2015 - LDO/2016, e os percentuais destinados às áreas da saúde, educação, esporte e cultura exigidos no art. 164, § 13, inciso I, da Constituição Estadual.</w:t>
      </w:r>
    </w:p>
    <w:p w:rsidR="00F72CA7" w:rsidRPr="00F72CA7" w:rsidRDefault="00F72CA7" w:rsidP="00F72CA7">
      <w:pPr>
        <w:pStyle w:val="tablepocp"/>
        <w:spacing w:before="0" w:beforeAutospacing="0" w:after="0" w:afterAutospacing="0"/>
        <w:ind w:left="254" w:firstLine="635"/>
        <w:jc w:val="both"/>
        <w:rPr>
          <w:rFonts w:ascii="Arial" w:hAnsi="Arial" w:cs="Arial"/>
          <w:color w:val="000000"/>
          <w:sz w:val="20"/>
          <w:szCs w:val="20"/>
        </w:rPr>
      </w:pPr>
      <w:r w:rsidRPr="00F72CA7">
        <w:rPr>
          <w:rFonts w:ascii="Arial" w:hAnsi="Arial" w:cs="Arial"/>
          <w:color w:val="000000"/>
          <w:sz w:val="20"/>
          <w:szCs w:val="20"/>
          <w:shd w:val="clear" w:color="auto" w:fill="FFFFFF"/>
        </w:rPr>
        <w:t>(</w:t>
      </w:r>
      <w:proofErr w:type="gramStart"/>
      <w:r w:rsidRPr="00F72CA7">
        <w:rPr>
          <w:rFonts w:ascii="Arial" w:hAnsi="Arial" w:cs="Arial"/>
          <w:color w:val="000000"/>
          <w:sz w:val="20"/>
          <w:szCs w:val="20"/>
          <w:shd w:val="clear" w:color="auto" w:fill="FFFFFF"/>
        </w:rPr>
        <w:t>...)”</w:t>
      </w:r>
      <w:proofErr w:type="gramEnd"/>
    </w:p>
    <w:p w:rsidR="00F72CA7" w:rsidRPr="00F72CA7" w:rsidRDefault="00F72CA7" w:rsidP="00F72CA7">
      <w:pPr>
        <w:pStyle w:val="tablepocp"/>
        <w:spacing w:before="0" w:beforeAutospacing="0" w:after="0" w:afterAutospacing="0"/>
        <w:ind w:firstLine="761"/>
        <w:jc w:val="both"/>
        <w:rPr>
          <w:rFonts w:ascii="Arial" w:hAnsi="Arial" w:cs="Arial"/>
          <w:color w:val="000000"/>
          <w:sz w:val="20"/>
          <w:szCs w:val="20"/>
        </w:rPr>
      </w:pPr>
      <w:r w:rsidRPr="00F72CA7"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</w:p>
    <w:p w:rsidR="00F72CA7" w:rsidRPr="00F72CA7" w:rsidRDefault="00F72CA7" w:rsidP="00F72CA7">
      <w:pPr>
        <w:pStyle w:val="tablepocp"/>
        <w:spacing w:before="0" w:beforeAutospacing="0" w:after="0" w:afterAutospacing="0"/>
        <w:ind w:firstLine="761"/>
        <w:jc w:val="both"/>
        <w:rPr>
          <w:rFonts w:ascii="Arial" w:hAnsi="Arial" w:cs="Arial"/>
          <w:color w:val="000000"/>
          <w:sz w:val="20"/>
          <w:szCs w:val="20"/>
        </w:rPr>
      </w:pPr>
      <w:r w:rsidRPr="00F72CA7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Art. 2º</w:t>
      </w:r>
      <w:r w:rsidRPr="00F72CA7">
        <w:rPr>
          <w:rFonts w:ascii="Arial" w:hAnsi="Arial" w:cs="Arial"/>
          <w:color w:val="000000"/>
          <w:sz w:val="20"/>
          <w:szCs w:val="20"/>
          <w:shd w:val="clear" w:color="auto" w:fill="FFFFFF"/>
        </w:rPr>
        <w:t>  Esta Lei entra em vigor na data de sua publicação, com efeitos retroativos a 1º de janeiro de 2016.</w:t>
      </w:r>
    </w:p>
    <w:p w:rsidR="00F72CA7" w:rsidRPr="00F72CA7" w:rsidRDefault="00F72CA7" w:rsidP="00F72CA7">
      <w:pPr>
        <w:pStyle w:val="tablepocp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F72CA7"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</w:p>
    <w:p w:rsidR="00F72CA7" w:rsidRPr="00F72CA7" w:rsidRDefault="00F72CA7" w:rsidP="00F72CA7">
      <w:pPr>
        <w:pStyle w:val="tablepocp"/>
        <w:spacing w:before="0" w:beforeAutospacing="0" w:after="0" w:afterAutospacing="0"/>
        <w:ind w:firstLine="761"/>
        <w:jc w:val="both"/>
        <w:rPr>
          <w:rFonts w:ascii="Arial" w:hAnsi="Arial" w:cs="Arial"/>
          <w:color w:val="000000"/>
          <w:sz w:val="20"/>
          <w:szCs w:val="20"/>
        </w:rPr>
      </w:pPr>
      <w:r w:rsidRPr="00F72CA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Palácio </w:t>
      </w:r>
      <w:proofErr w:type="spellStart"/>
      <w:r w:rsidRPr="00F72CA7">
        <w:rPr>
          <w:rFonts w:ascii="Arial" w:hAnsi="Arial" w:cs="Arial"/>
          <w:color w:val="000000"/>
          <w:sz w:val="20"/>
          <w:szCs w:val="20"/>
          <w:shd w:val="clear" w:color="auto" w:fill="FFFFFF"/>
        </w:rPr>
        <w:t>Paiaguás</w:t>
      </w:r>
      <w:proofErr w:type="spellEnd"/>
      <w:r w:rsidRPr="00F72CA7">
        <w:rPr>
          <w:rFonts w:ascii="Arial" w:hAnsi="Arial" w:cs="Arial"/>
          <w:color w:val="000000"/>
          <w:sz w:val="20"/>
          <w:szCs w:val="20"/>
          <w:shd w:val="clear" w:color="auto" w:fill="FFFFFF"/>
        </w:rPr>
        <w:t>, em Cuiabá,  15  de    abril     de 2016, 195º da Independência e 128º da República.</w:t>
      </w:r>
    </w:p>
    <w:p w:rsidR="00F72CA7" w:rsidRPr="00F72CA7" w:rsidRDefault="00F72CA7" w:rsidP="00F72CA7">
      <w:pPr>
        <w:pStyle w:val="tablepocp"/>
        <w:spacing w:before="0" w:beforeAutospacing="0" w:after="0" w:afterAutospacing="0"/>
        <w:ind w:firstLine="761"/>
        <w:jc w:val="both"/>
        <w:rPr>
          <w:rFonts w:ascii="Arial" w:hAnsi="Arial" w:cs="Arial"/>
          <w:color w:val="000000"/>
          <w:sz w:val="20"/>
          <w:szCs w:val="20"/>
        </w:rPr>
      </w:pPr>
      <w:r w:rsidRPr="00F72CA7"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</w:p>
    <w:p w:rsidR="00F72CA7" w:rsidRPr="00F72CA7" w:rsidRDefault="00F72CA7" w:rsidP="00F72CA7">
      <w:pPr>
        <w:pStyle w:val="tablepocp"/>
        <w:spacing w:before="0" w:beforeAutospacing="0" w:after="0" w:afterAutospacing="0"/>
        <w:ind w:firstLine="761"/>
        <w:jc w:val="center"/>
        <w:rPr>
          <w:rFonts w:ascii="Arial" w:hAnsi="Arial" w:cs="Arial"/>
          <w:color w:val="000000"/>
          <w:sz w:val="20"/>
          <w:szCs w:val="20"/>
        </w:rPr>
      </w:pPr>
      <w:r w:rsidRPr="00F72CA7">
        <w:rPr>
          <w:rFonts w:ascii="Arial" w:hAnsi="Arial" w:cs="Arial"/>
          <w:noProof/>
          <w:color w:val="000000"/>
          <w:sz w:val="20"/>
          <w:szCs w:val="20"/>
          <w:shd w:val="clear" w:color="auto" w:fill="FFFFFF"/>
        </w:rPr>
        <w:drawing>
          <wp:inline distT="0" distB="0" distL="0" distR="0">
            <wp:extent cx="809625" cy="428625"/>
            <wp:effectExtent l="19050" t="0" r="9525" b="0"/>
            <wp:docPr id="1" name="Imagem 1" descr="http://iomat.mt.gov.br/apifront/portal/materia_imagens/imagem/2676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omat.mt.gov.br/apifront/portal/materia_imagens/imagem/26767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2CA7" w:rsidRPr="00F72CA7" w:rsidRDefault="00F72CA7" w:rsidP="00F72CA7">
      <w:pPr>
        <w:pStyle w:val="tablepocp"/>
        <w:spacing w:before="0" w:beforeAutospacing="0" w:after="0" w:afterAutospacing="0"/>
        <w:ind w:firstLine="761"/>
        <w:jc w:val="center"/>
        <w:rPr>
          <w:rFonts w:ascii="Arial" w:hAnsi="Arial" w:cs="Arial"/>
          <w:color w:val="000000"/>
          <w:sz w:val="20"/>
          <w:szCs w:val="20"/>
        </w:rPr>
      </w:pPr>
      <w:r w:rsidRPr="00F72CA7"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</w:p>
    <w:p w:rsidR="00345035" w:rsidRPr="00F72CA7" w:rsidRDefault="00F72CA7">
      <w:pPr>
        <w:rPr>
          <w:sz w:val="20"/>
          <w:szCs w:val="20"/>
        </w:rPr>
      </w:pPr>
    </w:p>
    <w:sectPr w:rsidR="00345035" w:rsidRPr="00F72CA7" w:rsidSect="00F653D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72CA7"/>
    <w:rsid w:val="00804A83"/>
    <w:rsid w:val="00A913A7"/>
    <w:rsid w:val="00F653D8"/>
    <w:rsid w:val="00F72C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3D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lepocp">
    <w:name w:val="tablepocp"/>
    <w:basedOn w:val="Normal"/>
    <w:rsid w:val="00F72C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F72CA7"/>
  </w:style>
  <w:style w:type="paragraph" w:styleId="Textodebalo">
    <w:name w:val="Balloon Text"/>
    <w:basedOn w:val="Normal"/>
    <w:link w:val="TextodebaloChar"/>
    <w:uiPriority w:val="99"/>
    <w:semiHidden/>
    <w:unhideWhenUsed/>
    <w:rsid w:val="00F72C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2C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016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214</Words>
  <Characters>1159</Characters>
  <Application>Microsoft Office Word</Application>
  <DocSecurity>0</DocSecurity>
  <Lines>9</Lines>
  <Paragraphs>2</Paragraphs>
  <ScaleCrop>false</ScaleCrop>
  <Company/>
  <LinksUpToDate>false</LinksUpToDate>
  <CharactersWithSpaces>1371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joyceferreira</dc:creator>
  <cp:keywords/>
  <dc:description/>
  <cp:lastModifiedBy>joyceferreira</cp:lastModifiedBy>
  <cp:revision>1</cp:revision>
  <dcterms:created xsi:type="dcterms:W3CDTF">2017-09-29T20:36:00Z</dcterms:created>
  <dcterms:modified xsi:type="dcterms:W3CDTF">2017-09-29T20:40:00Z</dcterms:modified>
</cp:coreProperties>
</file>